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b/>
          <w:color w:val="1F4E79"/>
          <w:sz w:val="36"/>
        </w:rPr>
        <w:t>DANITA WALTON</w:t>
      </w:r>
    </w:p>
    <w:p>
      <w:pPr>
        <w:spacing w:after="20"/>
        <w:jc w:val="center"/>
      </w:pPr>
      <w:r>
        <w:rPr>
          <w:b/>
          <w:color w:val="232323"/>
          <w:sz w:val="18"/>
        </w:rPr>
        <w:t>BUSINESS OPERATIONS | PROCESS IMPROVEMENT | PROGRAM &amp; PRODUCT OPERATIONS</w:t>
      </w:r>
    </w:p>
    <w:p>
      <w:pPr>
        <w:spacing w:after="60"/>
        <w:jc w:val="center"/>
        <w:pBdr>
          <w:bottom w:val="single" w:sz="10" w:space="1" w:color="1F4E79"/>
        </w:pBdr>
      </w:pPr>
      <w:r>
        <w:rPr>
          <w:sz w:val="17"/>
        </w:rPr>
        <w:t>Pittsburgh, PA  |  danitawalton@gmail.com  |  linkedin.com/in/danitawalton  |  danitawalton.com</w:t>
      </w:r>
    </w:p>
    <w:p>
      <w:pPr>
        <w:spacing w:before="50" w:after="25"/>
        <w:pBdr>
          <w:bottom w:val="single" w:sz="8" w:space="1" w:color="1F4E79"/>
        </w:pBdr>
      </w:pPr>
      <w:r>
        <w:rPr>
          <w:b/>
          <w:color w:val="1F4E79"/>
          <w:sz w:val="20"/>
        </w:rPr>
        <w:t>PROFESSIONAL SUMMARY</w:t>
      </w:r>
    </w:p>
    <w:p>
      <w:pPr>
        <w:spacing w:after="40" w:line="240" w:lineRule="auto"/>
      </w:pPr>
      <w:r>
        <w:rPr>
          <w:sz w:val="18"/>
        </w:rPr>
        <w:t>Business operations professional who transforms ambiguous, undocumented processes into scalable operational systems through workflow design, documentation, and automation. Uses generative AI to accelerate requirements development, process design, and operational analysis while independently validating outputs for accuracy, security, and sound judgment.</w:t>
      </w:r>
    </w:p>
    <w:p>
      <w:pPr>
        <w:spacing w:before="50" w:after="25"/>
        <w:pBdr>
          <w:bottom w:val="single" w:sz="8" w:space="1" w:color="1F4E79"/>
        </w:pBdr>
      </w:pPr>
      <w:r>
        <w:rPr>
          <w:b/>
          <w:color w:val="1F4E79"/>
          <w:sz w:val="20"/>
        </w:rPr>
        <w:t>CORE COMPETENCIES</w:t>
      </w:r>
    </w:p>
    <w:p>
      <w:pPr>
        <w:spacing w:after="40"/>
        <w:jc w:val="center"/>
      </w:pPr>
      <w:r>
        <w:rPr>
          <w:sz w:val="17"/>
        </w:rPr>
        <w:t>Business Operations  •  Process Improvement  •  Operations Change Management  •  Program &amp; Product Operations  •  AI-Enabled Operations  •  Business Analysis  •  Requirements Gathering  •  Agile User Stories  •  Workflow Design  •  Knowledge Management  •  Power Platform Automation  •  Data Analysis</w:t>
      </w:r>
    </w:p>
    <w:p>
      <w:pPr>
        <w:spacing w:before="50" w:after="25"/>
        <w:pBdr>
          <w:bottom w:val="single" w:sz="8" w:space="1" w:color="1F4E79"/>
        </w:pBdr>
      </w:pPr>
      <w:r>
        <w:rPr>
          <w:b/>
          <w:color w:val="1F4E79"/>
          <w:sz w:val="20"/>
        </w:rPr>
        <w:t>PROFESSIONAL EXPERIENCE</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8424"/>
        <w:gridCol w:w="2088"/>
      </w:tblGrid>
      <w:tr>
        <w:tc>
          <w:tcPr>
            <w:tcW w:type="dxa" w:w="8424"/>
            <w:vAlign w:val="center"/>
          </w:tcPr>
          <w:p>
            <w:pPr>
              <w:spacing w:after="0"/>
            </w:pPr>
            <w:r>
              <w:rPr>
                <w:b/>
                <w:sz w:val="19"/>
              </w:rPr>
              <w:t>Senior Specialist, Business Technology Liaison</w:t>
            </w:r>
          </w:p>
        </w:tc>
        <w:tc>
          <w:tcPr>
            <w:tcW w:type="dxa" w:w="2088"/>
            <w:vAlign w:val="center"/>
          </w:tcPr>
          <w:p>
            <w:pPr>
              <w:spacing w:after="0"/>
              <w:jc w:val="right"/>
            </w:pPr>
            <w:r>
              <w:rPr>
                <w:b/>
                <w:sz w:val="18"/>
              </w:rPr>
              <w:t>Nov 2024–Present</w:t>
            </w:r>
          </w:p>
        </w:tc>
      </w:tr>
      <w:tr>
        <w:tc>
          <w:tcPr>
            <w:tcW w:type="dxa" w:w="8424"/>
            <w:vAlign w:val="center"/>
          </w:tcPr>
          <w:p>
            <w:pPr>
              <w:spacing w:after="0"/>
            </w:pPr>
            <w:r>
              <w:rPr>
                <w:i/>
                <w:color w:val="5A5A5A"/>
                <w:sz w:val="18"/>
              </w:rPr>
              <w:t>BNY, Wealth Specialized Solutions, Wealth Service Delivery | Pittsburgh, PA</w:t>
            </w:r>
          </w:p>
        </w:tc>
        <w:tc>
          <w:tcPr>
            <w:tcW w:type="dxa" w:w="2088"/>
            <w:vAlign w:val="center"/>
          </w:tcPr>
          <w:p>
            <w:r/>
          </w:p>
        </w:tc>
      </w:tr>
    </w:tbl>
    <w:p>
      <w:pPr>
        <w:pStyle w:val="ListBullet"/>
        <w:spacing w:after="20" w:line="232" w:lineRule="auto"/>
        <w:ind w:left="245" w:hanging="187"/>
      </w:pPr>
      <w:r>
        <w:rPr>
          <w:sz w:val="17"/>
        </w:rPr>
        <w:t>Led the design and development of an end-to-end Level 1 support intake and ticket-management solution — Microsoft Forms, SharePoint Lists, Power Apps, and Power Automate — defining objectives, requirements, data structures, and implementation plans while migrating legacy Microsoft Access data to SharePoint.</w:t>
      </w:r>
    </w:p>
    <w:p>
      <w:pPr>
        <w:pStyle w:val="ListBullet"/>
        <w:spacing w:after="20" w:line="232" w:lineRule="auto"/>
        <w:ind w:left="245" w:hanging="187"/>
      </w:pPr>
      <w:r>
        <w:rPr>
          <w:sz w:val="17"/>
        </w:rPr>
        <w:t>Built automated flows and a Power App interface for ticket creation, search, filtering, assignment, and notifications, creating a clear framework for ownership, escalation, and reporting.</w:t>
      </w:r>
    </w:p>
    <w:p>
      <w:pPr>
        <w:pStyle w:val="ListBullet"/>
        <w:spacing w:after="20" w:line="232" w:lineRule="auto"/>
        <w:ind w:left="245" w:hanging="187"/>
      </w:pPr>
      <w:r>
        <w:rPr>
          <w:sz w:val="17"/>
        </w:rPr>
        <w:t>Set up and managed access, entitlements, and permissions for internal Wealth application users, ensuring appropriate role-based access as part of onboarding and support operations.</w:t>
      </w:r>
    </w:p>
    <w:p>
      <w:pPr>
        <w:pStyle w:val="ListBullet"/>
        <w:spacing w:after="20" w:line="232" w:lineRule="auto"/>
        <w:ind w:left="245" w:hanging="187"/>
      </w:pPr>
      <w:r>
        <w:rPr>
          <w:sz w:val="17"/>
        </w:rPr>
        <w:t>Conceived and led an Agile-based user-research initiative across roughly 1,200 Wealth application users — developed the survey framework, wrote user stories, and applied scoring to evaluate application, workflow, and support pain points.</w:t>
      </w:r>
    </w:p>
    <w:p>
      <w:pPr>
        <w:pStyle w:val="ListBullet"/>
        <w:spacing w:after="20" w:line="232" w:lineRule="auto"/>
        <w:ind w:left="245" w:hanging="187"/>
      </w:pPr>
      <w:r>
        <w:rPr>
          <w:sz w:val="17"/>
        </w:rPr>
        <w:t>Created and maintain a visual OneNote knowledge base covering 11 applications and 59 workflows — troubleshooting steps, screenshots, and explanations — turning onboarding into a repeatable system rather than a memory exercise.</w:t>
      </w:r>
    </w:p>
    <w:p>
      <w:pPr>
        <w:pStyle w:val="ListBullet"/>
        <w:spacing w:after="20" w:line="232" w:lineRule="auto"/>
        <w:ind w:left="245" w:hanging="187"/>
      </w:pPr>
      <w:r>
        <w:rPr>
          <w:sz w:val="17"/>
        </w:rPr>
        <w:t>Performed release-night validation for new and enhanced applications by executing assigned scenarios, confirming expected functionality, and logging proof that systems functioned as expected.</w:t>
      </w:r>
    </w:p>
    <w:p>
      <w:pPr>
        <w:pStyle w:val="ListBullet"/>
        <w:spacing w:after="20" w:line="232" w:lineRule="auto"/>
        <w:ind w:left="245" w:hanging="187"/>
      </w:pPr>
      <w:r>
        <w:rPr>
          <w:sz w:val="17"/>
        </w:rPr>
        <w:t>Earned Spark Own It recognition for independently managing a surge of technical-support inquiries with professionalism and responsiveness after only five months on the team; also earned Spark Progress recognition for completing UiPath training and advancing automation capability.</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8424"/>
        <w:gridCol w:w="2088"/>
      </w:tblGrid>
      <w:tr>
        <w:tc>
          <w:tcPr>
            <w:tcW w:type="dxa" w:w="8424"/>
            <w:vAlign w:val="center"/>
          </w:tcPr>
          <w:p>
            <w:pPr>
              <w:spacing w:after="0"/>
            </w:pPr>
            <w:r>
              <w:rPr>
                <w:b/>
                <w:sz w:val="19"/>
              </w:rPr>
              <w:t>Associate, Tax Reporting &amp; Compliance I</w:t>
            </w:r>
          </w:p>
        </w:tc>
        <w:tc>
          <w:tcPr>
            <w:tcW w:type="dxa" w:w="2088"/>
            <w:vAlign w:val="center"/>
          </w:tcPr>
          <w:p>
            <w:pPr>
              <w:spacing w:after="0"/>
              <w:jc w:val="right"/>
            </w:pPr>
            <w:r>
              <w:rPr>
                <w:b/>
                <w:sz w:val="18"/>
              </w:rPr>
              <w:t>Jun 2023–Nov 2024</w:t>
            </w:r>
          </w:p>
        </w:tc>
      </w:tr>
      <w:tr>
        <w:tc>
          <w:tcPr>
            <w:tcW w:type="dxa" w:w="8424"/>
            <w:vAlign w:val="center"/>
          </w:tcPr>
          <w:p>
            <w:pPr>
              <w:spacing w:after="0"/>
            </w:pPr>
            <w:r>
              <w:rPr>
                <w:i/>
                <w:color w:val="5A5A5A"/>
                <w:sz w:val="18"/>
              </w:rPr>
              <w:t>BNY | Pittsburgh, PA</w:t>
            </w:r>
          </w:p>
        </w:tc>
        <w:tc>
          <w:tcPr>
            <w:tcW w:type="dxa" w:w="2088"/>
            <w:vAlign w:val="center"/>
          </w:tcPr>
          <w:p>
            <w:r/>
          </w:p>
        </w:tc>
      </w:tr>
    </w:tbl>
    <w:p>
      <w:pPr>
        <w:pStyle w:val="ListBullet"/>
        <w:spacing w:after="20" w:line="232" w:lineRule="auto"/>
        <w:ind w:left="245" w:hanging="187"/>
      </w:pPr>
      <w:r>
        <w:rPr>
          <w:sz w:val="17"/>
        </w:rPr>
        <w:t>Provided operational support for the preparation, reconciliation, quality review, and maintenance of 1042-S tax records, returns, and reports using PSS, OneSource, DOORS, Refinitiv, NEXEN, WSC, and related systems.</w:t>
      </w:r>
    </w:p>
    <w:p>
      <w:pPr>
        <w:pStyle w:val="ListBullet"/>
        <w:spacing w:after="20" w:line="232" w:lineRule="auto"/>
        <w:ind w:left="245" w:hanging="187"/>
      </w:pPr>
      <w:r>
        <w:rPr>
          <w:sz w:val="17"/>
        </w:rPr>
        <w:t>Analyzed and resolved complex data and deliverable issues, maintained accuracy under deadline pressure, and assisted eight colleagues in completing tax-season work; received Spark Progress recognition and was selected for the Digital Partnerships &amp; Strategic Investments DILO 6.0 program.</w:t>
      </w:r>
    </w:p>
    <w:p>
      <w:pPr>
        <w:spacing w:before="50" w:after="25"/>
        <w:pBdr>
          <w:bottom w:val="single" w:sz="8" w:space="1" w:color="1F4E79"/>
        </w:pBdr>
      </w:pPr>
      <w:r>
        <w:rPr>
          <w:b/>
          <w:color w:val="1F4E79"/>
          <w:sz w:val="20"/>
        </w:rPr>
        <w:t>ADDITIONAL PROFESSIONAL EXPERIENCE</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8424"/>
        <w:gridCol w:w="2088"/>
      </w:tblGrid>
      <w:tr>
        <w:tc>
          <w:tcPr>
            <w:tcW w:type="dxa" w:w="8424"/>
            <w:vAlign w:val="center"/>
          </w:tcPr>
          <w:p>
            <w:pPr>
              <w:spacing w:after="0"/>
            </w:pPr>
            <w:r>
              <w:rPr>
                <w:b/>
                <w:sz w:val="19"/>
              </w:rPr>
              <w:t>Office Manager</w:t>
            </w:r>
          </w:p>
        </w:tc>
        <w:tc>
          <w:tcPr>
            <w:tcW w:type="dxa" w:w="2088"/>
            <w:vAlign w:val="center"/>
          </w:tcPr>
          <w:p>
            <w:pPr>
              <w:spacing w:after="0"/>
              <w:jc w:val="right"/>
            </w:pPr>
            <w:r>
              <w:rPr>
                <w:b/>
                <w:sz w:val="18"/>
              </w:rPr>
              <w:t>2018–2023</w:t>
            </w:r>
          </w:p>
        </w:tc>
      </w:tr>
      <w:tr>
        <w:tc>
          <w:tcPr>
            <w:tcW w:type="dxa" w:w="8424"/>
            <w:vAlign w:val="center"/>
          </w:tcPr>
          <w:p>
            <w:pPr>
              <w:spacing w:after="0"/>
            </w:pPr>
            <w:r>
              <w:rPr>
                <w:i/>
                <w:color w:val="5A5A5A"/>
                <w:sz w:val="18"/>
              </w:rPr>
              <w:t>Robin Byrd State Farm Insurance and Financial Services | Pittsburgh, PA</w:t>
            </w:r>
          </w:p>
        </w:tc>
        <w:tc>
          <w:tcPr>
            <w:tcW w:type="dxa" w:w="2088"/>
            <w:vAlign w:val="center"/>
          </w:tcPr>
          <w:p>
            <w:r/>
          </w:p>
        </w:tc>
      </w:tr>
    </w:tbl>
    <w:p>
      <w:pPr>
        <w:pStyle w:val="ListBullet"/>
        <w:spacing w:after="20" w:line="232" w:lineRule="auto"/>
        <w:ind w:left="245" w:hanging="187"/>
      </w:pPr>
      <w:r>
        <w:rPr>
          <w:sz w:val="17"/>
        </w:rPr>
        <w:t>Provided customer service and sales support to clients of diverse backgrounds, including high-net-worth clients, while implementing operational and sales-process improvements that resulted in a 43% year-over-year increase in sales production and a 285% increase in agency bonuses.</w:t>
      </w:r>
    </w:p>
    <w:p>
      <w:pPr>
        <w:pStyle w:val="ListBullet"/>
        <w:spacing w:after="20" w:line="232" w:lineRule="auto"/>
        <w:ind w:left="245" w:hanging="187"/>
      </w:pPr>
      <w:r>
        <w:rPr>
          <w:sz w:val="17"/>
        </w:rPr>
        <w:t>Served as an operational point of contact for clients and coordinated claims and underwriting teams to resolve complex needs with empathy, discretion, and consistent follow-through.</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8424"/>
        <w:gridCol w:w="2088"/>
      </w:tblGrid>
      <w:tr>
        <w:tc>
          <w:tcPr>
            <w:tcW w:type="dxa" w:w="8424"/>
            <w:vAlign w:val="center"/>
          </w:tcPr>
          <w:p>
            <w:pPr>
              <w:spacing w:after="0"/>
            </w:pPr>
            <w:r>
              <w:rPr>
                <w:b/>
                <w:sz w:val="19"/>
              </w:rPr>
              <w:t>Founder &amp; Product Manager</w:t>
            </w:r>
          </w:p>
        </w:tc>
        <w:tc>
          <w:tcPr>
            <w:tcW w:type="dxa" w:w="2088"/>
            <w:vAlign w:val="center"/>
          </w:tcPr>
          <w:p>
            <w:pPr>
              <w:spacing w:after="0"/>
              <w:jc w:val="right"/>
            </w:pPr>
            <w:r>
              <w:rPr>
                <w:b/>
                <w:sz w:val="18"/>
              </w:rPr>
              <w:t>2014–Present</w:t>
            </w:r>
          </w:p>
        </w:tc>
      </w:tr>
      <w:tr>
        <w:tc>
          <w:tcPr>
            <w:tcW w:type="dxa" w:w="8424"/>
            <w:vAlign w:val="center"/>
          </w:tcPr>
          <w:p>
            <w:pPr>
              <w:spacing w:after="0"/>
            </w:pPr>
            <w:r>
              <w:rPr>
                <w:i/>
                <w:color w:val="5A5A5A"/>
                <w:sz w:val="18"/>
              </w:rPr>
              <w:t>pagarii, Dating Product Concept and Singles Events | Pittsburgh, PA</w:t>
            </w:r>
          </w:p>
        </w:tc>
        <w:tc>
          <w:tcPr>
            <w:tcW w:type="dxa" w:w="2088"/>
            <w:vAlign w:val="center"/>
          </w:tcPr>
          <w:p>
            <w:r/>
          </w:p>
        </w:tc>
      </w:tr>
    </w:tbl>
    <w:p>
      <w:pPr>
        <w:pStyle w:val="ListBullet"/>
        <w:spacing w:after="20" w:line="232" w:lineRule="auto"/>
        <w:ind w:left="245" w:hanging="187"/>
      </w:pPr>
      <w:r>
        <w:rPr>
          <w:sz w:val="17"/>
        </w:rPr>
        <w:t>Planned paid events and used participant feedback to improve operations; organically grew attendance to 400+ participants across two cities and a Meetup community of 4,000+ members.</w:t>
      </w:r>
    </w:p>
    <w:p>
      <w:pPr>
        <w:pStyle w:val="ListBullet"/>
        <w:spacing w:after="20" w:line="232" w:lineRule="auto"/>
        <w:ind w:left="245" w:hanging="187"/>
      </w:pPr>
      <w:r>
        <w:rPr>
          <w:sz w:val="17"/>
        </w:rPr>
        <w:t>Analyzed 242,000 user reviews across 40+ dating apps using cluster analysis and topic modeling to identify customer needs, market gaps, and product-positioning opportunities.</w:t>
      </w:r>
    </w:p>
    <w:p>
      <w:pPr>
        <w:pStyle w:val="ListBullet"/>
        <w:spacing w:after="20" w:line="232" w:lineRule="auto"/>
        <w:ind w:left="245" w:hanging="187"/>
      </w:pPr>
      <w:r>
        <w:rPr>
          <w:sz w:val="17"/>
        </w:rPr>
        <w:t>Designed surveys, interviews, and focus groups involving 350+ prospective users to identify pain points, test product concepts, and develop pricing assumptions.</w:t>
      </w:r>
    </w:p>
    <w:p>
      <w:pPr>
        <w:pStyle w:val="ListBullet"/>
        <w:spacing w:after="20" w:line="232" w:lineRule="auto"/>
        <w:ind w:left="245" w:hanging="187"/>
      </w:pPr>
      <w:r>
        <w:rPr>
          <w:sz w:val="17"/>
        </w:rPr>
        <w:t>Built and iterated product concepts and functional prototypes using agentic and generative AI tools, including Claude Code, Claude Cowork, ChatGPT, and Gemini, to translate user needs into requirements, workflows, interface concepts, and working solutions.</w:t>
      </w:r>
    </w:p>
    <w:p>
      <w:pPr>
        <w:spacing w:before="50" w:after="25"/>
        <w:pBdr>
          <w:bottom w:val="single" w:sz="8" w:space="1" w:color="1F4E79"/>
        </w:pBdr>
      </w:pPr>
      <w:r>
        <w:rPr>
          <w:b/>
          <w:color w:val="1F4E79"/>
          <w:sz w:val="20"/>
        </w:rPr>
        <w:t>ADDITIONAL &amp; INTERNATIONAL EXPERIENCE</w:t>
      </w:r>
    </w:p>
    <w:p>
      <w:pPr>
        <w:spacing w:after="40"/>
      </w:pPr>
      <w:r>
        <w:rPr>
          <w:b/>
          <w:sz w:val="17"/>
        </w:rPr>
        <w:t xml:space="preserve">Domestic: </w:t>
      </w:r>
      <w:r>
        <w:rPr>
          <w:sz w:val="17"/>
        </w:rPr>
        <w:t>Flight Attendant, ExpressJet Airlines (2011–2014) • AmeriCorps Member, Youth Villages (2011)</w:t>
      </w:r>
    </w:p>
    <w:p>
      <w:pPr>
        <w:spacing w:after="40"/>
      </w:pPr>
      <w:r>
        <w:rPr>
          <w:b/>
          <w:sz w:val="17"/>
        </w:rPr>
        <w:t xml:space="preserve">International: </w:t>
      </w:r>
      <w:r>
        <w:rPr>
          <w:sz w:val="17"/>
        </w:rPr>
        <w:t>Working Holiday, Australia (2009–2010) • Au Pair &amp; Spanish Studies, Barcelona (2007–2008) • NGO Volunteer, Asia &amp; Africa (2007) • English Tutor, Costa Rica (2005)</w:t>
      </w:r>
    </w:p>
    <w:p>
      <w:pPr>
        <w:spacing w:before="50" w:after="25"/>
        <w:pBdr>
          <w:bottom w:val="single" w:sz="8" w:space="1" w:color="1F4E79"/>
        </w:pBdr>
      </w:pPr>
      <w:r>
        <w:rPr>
          <w:b/>
          <w:color w:val="1F4E79"/>
          <w:sz w:val="20"/>
        </w:rPr>
        <w:t>TECHNICAL &amp; ANALYTICAL SKILLS</w:t>
      </w:r>
    </w:p>
    <w:p>
      <w:pPr>
        <w:spacing w:after="20"/>
      </w:pPr>
      <w:r>
        <w:rPr>
          <w:b/>
          <w:sz w:val="17"/>
        </w:rPr>
        <w:t xml:space="preserve">Platforms &amp; Automation: </w:t>
      </w:r>
      <w:r>
        <w:rPr>
          <w:sz w:val="17"/>
        </w:rPr>
        <w:t>Power Apps, Power Automate, SharePoint Lists, Microsoft Forms, Microsoft Access, UiPath, Microsoft Copilot, AI Builder, OneNote</w:t>
      </w:r>
    </w:p>
    <w:p>
      <w:pPr>
        <w:spacing w:after="20"/>
      </w:pPr>
      <w:r>
        <w:rPr>
          <w:b/>
          <w:sz w:val="17"/>
        </w:rPr>
        <w:t xml:space="preserve">Data &amp; Business Tools: </w:t>
      </w:r>
      <w:r>
        <w:rPr>
          <w:sz w:val="17"/>
        </w:rPr>
        <w:t>Excel, Salesforce, Jira, SPSS, Stata, Python and SQL (working knowledge, AI-accelerated), cluster analysis, regression, topic modeling, survey design, qualitative interviews</w:t>
      </w:r>
    </w:p>
    <w:p>
      <w:pPr>
        <w:spacing w:before="50" w:after="25"/>
        <w:pBdr>
          <w:bottom w:val="single" w:sz="8" w:space="1" w:color="1F4E79"/>
        </w:pBdr>
      </w:pPr>
      <w:r>
        <w:rPr>
          <w:b/>
          <w:color w:val="1F4E79"/>
          <w:sz w:val="20"/>
        </w:rPr>
        <w:t>EDUCATION &amp; PROFESSIONAL DEVELOPMENT</w:t>
      </w:r>
    </w:p>
    <w:p>
      <w:pPr>
        <w:spacing w:after="20"/>
      </w:pPr>
      <w:r>
        <w:rPr>
          <w:b/>
          <w:sz w:val="18"/>
        </w:rPr>
        <w:t>The Pennsylvania State University</w:t>
      </w:r>
      <w:r>
        <w:rPr>
          <w:sz w:val="18"/>
        </w:rPr>
        <w:t xml:space="preserve">, Bachelor of Science, Integrated Social Sciences, 2022</w:t>
      </w:r>
    </w:p>
    <w:p>
      <w:pPr>
        <w:spacing w:after="20"/>
      </w:pPr>
      <w:r>
        <w:rPr>
          <w:b/>
          <w:sz w:val="18"/>
        </w:rPr>
        <w:t>Graduate Studies, Marketing Analytics and Insights</w:t>
      </w:r>
      <w:r>
        <w:rPr>
          <w:sz w:val="18"/>
        </w:rPr>
        <w:t>, 2022–2023 (degree not completed)</w:t>
      </w:r>
    </w:p>
    <w:p>
      <w:pPr>
        <w:spacing w:after="20"/>
      </w:pPr>
      <w:r>
        <w:rPr>
          <w:b/>
          <w:sz w:val="17"/>
        </w:rPr>
        <w:t xml:space="preserve">Professional Development: </w:t>
      </w:r>
      <w:r>
        <w:rPr>
          <w:sz w:val="17"/>
        </w:rPr>
        <w:t>UiPath Studio certification • BNY AI Explorer L1–2 • AI Builder L3 • Eliza AI Prompting • Agile &amp; Platforms Operating Model pathways</w:t>
      </w:r>
    </w:p>
    <w:sectPr w:rsidR="00FC693F" w:rsidRPr="0006063C" w:rsidSect="00034616">
      <w:footerReference w:type="default" r:id="rId9"/>
      <w:pgSz w:w="12240" w:h="15840"/>
      <w:pgMar w:top="480" w:right="749" w:bottom="480" w:left="7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4"/>
      </w:rPr>
      <w:t>Danita Walton | Resume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35" w:lineRule="auto"/>
    </w:pPr>
    <w:rPr>
      <w:rFonts w:ascii="Times New Roman" w:hAnsi="Times New Roman"/>
      <w:color w:val="232323"/>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imes New Roman" w:hAnsi="Times New Roman" w:cs="Times New Roman"/>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imes New Roman" w:hAnsi="Times New Roman" w:cs="Times New Roman"/>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imes New Roman" w:hAnsi="Times New Roman" w:cs="Times New Roman"/>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imes New Roman" w:hAnsi="Times New Roman" w:cs="Times New Roman"/>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imes New Roman" w:hAnsi="Times New Roman" w:cs="Times New Roman"/>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imes New Roman" w:hAnsi="Times New Roman" w:cs="Times New Roman"/>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imes New Roman" w:hAnsi="Times New Roman" w:cs="Times New Roman"/>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imes New Roman" w:hAnsi="Times New Roman" w:cs="Times New Roman"/>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imes New Roman" w:hAnsi="Times New Roman" w:cs="Times New Roman"/>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imes New Roman" w:hAnsi="Times New Roman" w:cs="Times New Roman"/>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imes New Roman" w:hAnsi="Times New Roman" w:cs="Times New Roman"/>
      <w:b/>
      <w:bCs/>
      <w:color w:val="4F81BD" w:themeColor="accent1"/>
      <w:sz w:val="26"/>
      <w:szCs w:val="26"/>
    </w:rPr>
  </w:style>
  <w:style w:type="character" w:customStyle="1" w:styleId="Heading3Char">
    <w:name w:val="Heading 3 Char"/>
    <w:basedOn w:val="DefaultParagraphFont"/>
    <w:link w:val="Heading3"/>
    <w:uiPriority w:val="9"/>
    <w:rsid w:val="00FC693F"/>
    <w:rPr>
      <w:rFonts w:ascii="Times New Roman" w:hAnsi="Times New Roman" w:cs="Times New Roman"/>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imes New Roman" w:hAnsi="Times New Roman" w:cs="Times New Roman"/>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imes New Roman" w:hAnsi="Times New Roman" w:cs="Times New Roman"/>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imes New Roman" w:hAnsi="Times New Roman" w:cs="Times New Roman"/>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imes New Roman" w:hAnsi="Times New Roman" w:cs="Times New Roman"/>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Times New Roman" w:hAnsi="Times New Roman"/>
      <w:sz w:val="16"/>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Times New Roman" w:hAnsi="Times New Roman"/>
      <w:sz w:val="20"/>
      <w:szCs w:val="20"/>
    </w:rPr>
  </w:style>
  <w:style w:type="character" w:customStyle="1" w:styleId="MacroTextChar">
    <w:name w:val="Macro Text Char"/>
    <w:basedOn w:val="DefaultParagraphFont"/>
    <w:link w:val="MacroText"/>
    <w:uiPriority w:val="99"/>
    <w:rsid w:val="0029639D"/>
    <w:rPr>
      <w:rFonts w:ascii="Times New Roman" w:hAnsi="Times New Roman"/>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imes New Roman" w:hAnsi="Times New Roman" w:cs="Times New Roman"/>
      <w:b/>
      <w:bCs/>
      <w:i/>
      <w:iCs/>
      <w:color w:val="4F81BD" w:themeColor="accent1"/>
    </w:rPr>
  </w:style>
  <w:style w:type="character" w:customStyle="1" w:styleId="Heading5Char">
    <w:name w:val="Heading 5 Char"/>
    <w:basedOn w:val="DefaultParagraphFont"/>
    <w:link w:val="Heading5"/>
    <w:uiPriority w:val="9"/>
    <w:semiHidden/>
    <w:rsid w:val="00FC693F"/>
    <w:rPr>
      <w:rFonts w:ascii="Times New Roman" w:hAnsi="Times New Roman" w:cs="Times New Roman"/>
      <w:color w:val="243F60" w:themeColor="accent1" w:themeShade="7F"/>
    </w:rPr>
  </w:style>
  <w:style w:type="character" w:customStyle="1" w:styleId="Heading6Char">
    <w:name w:val="Heading 6 Char"/>
    <w:basedOn w:val="DefaultParagraphFont"/>
    <w:link w:val="Heading6"/>
    <w:uiPriority w:val="9"/>
    <w:semiHidden/>
    <w:rsid w:val="00FC693F"/>
    <w:rPr>
      <w:rFonts w:ascii="Times New Roman" w:hAnsi="Times New Roman" w:cs="Times New Roman"/>
      <w:i/>
      <w:iCs/>
      <w:color w:val="243F60" w:themeColor="accent1" w:themeShade="7F"/>
    </w:rPr>
  </w:style>
  <w:style w:type="character" w:customStyle="1" w:styleId="Heading7Char">
    <w:name w:val="Heading 7 Char"/>
    <w:basedOn w:val="DefaultParagraphFont"/>
    <w:link w:val="Heading7"/>
    <w:uiPriority w:val="9"/>
    <w:semiHidden/>
    <w:rsid w:val="00FC693F"/>
    <w:rPr>
      <w:rFonts w:ascii="Times New Roman" w:hAnsi="Times New Roman" w:cs="Times New Roman"/>
      <w:i/>
      <w:iCs/>
      <w:color w:val="404040" w:themeColor="text1" w:themeTint="BF"/>
    </w:rPr>
  </w:style>
  <w:style w:type="character" w:customStyle="1" w:styleId="Heading8Char">
    <w:name w:val="Heading 8 Char"/>
    <w:basedOn w:val="DefaultParagraphFont"/>
    <w:link w:val="Heading8"/>
    <w:uiPriority w:val="9"/>
    <w:semiHidden/>
    <w:rsid w:val="00FC693F"/>
    <w:rPr>
      <w:rFonts w:ascii="Times New Roman" w:hAnsi="Times New Roman" w:cs="Times New Roman"/>
      <w:color w:val="4F81BD" w:themeColor="accent1"/>
      <w:sz w:val="20"/>
      <w:szCs w:val="20"/>
    </w:rPr>
  </w:style>
  <w:style w:type="character" w:customStyle="1" w:styleId="Heading9Char">
    <w:name w:val="Heading 9 Char"/>
    <w:basedOn w:val="DefaultParagraphFont"/>
    <w:link w:val="Heading9"/>
    <w:uiPriority w:val="9"/>
    <w:semiHidden/>
    <w:rsid w:val="00FC693F"/>
    <w:rPr>
      <w:rFonts w:ascii="Times New Roman" w:hAnsi="Times New Roman" w:cs="Times New Roman"/>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imes New Roman" w:hAnsi="Times New Roman"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imes New Roman" w:hAnsi="Times New Roman"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imes New Roman" w:hAnsi="Times New Roman" w:cs="Times New Roman"/>
        <w:b/>
        <w:bCs/>
      </w:rPr>
    </w:tblStylePr>
    <w:tblStylePr w:type="lastCol">
      <w:rPr>
        <w:rFonts w:ascii="Times New Roman" w:hAnsi="Times New Roman"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imes New Roman" w:hAnsi="Times New Roman"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imes New Roman" w:hAnsi="Times New Roman"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imes New Roman" w:hAnsi="Times New Roman" w:cs="Times New Roman"/>
        <w:b/>
        <w:bCs/>
      </w:rPr>
    </w:tblStylePr>
    <w:tblStylePr w:type="lastCol">
      <w:rPr>
        <w:rFonts w:ascii="Times New Roman" w:hAnsi="Times New Roman"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imes New Roman" w:hAnsi="Times New Roman"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imes New Roman" w:hAnsi="Times New Roman"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imes New Roman" w:hAnsi="Times New Roman" w:cs="Times New Roman"/>
        <w:b/>
        <w:bCs/>
      </w:rPr>
    </w:tblStylePr>
    <w:tblStylePr w:type="lastCol">
      <w:rPr>
        <w:rFonts w:ascii="Times New Roman" w:hAnsi="Times New Roman"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imes New Roman" w:hAnsi="Times New Roman"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imes New Roman" w:hAnsi="Times New Roman"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imes New Roman" w:hAnsi="Times New Roman" w:cs="Times New Roman"/>
        <w:b/>
        <w:bCs/>
      </w:rPr>
    </w:tblStylePr>
    <w:tblStylePr w:type="lastCol">
      <w:rPr>
        <w:rFonts w:ascii="Times New Roman" w:hAnsi="Times New Roman"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imes New Roman" w:hAnsi="Times New Roman"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imes New Roman" w:hAnsi="Times New Roman"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imes New Roman" w:hAnsi="Times New Roman" w:cs="Times New Roman"/>
        <w:b/>
        <w:bCs/>
      </w:rPr>
    </w:tblStylePr>
    <w:tblStylePr w:type="lastCol">
      <w:rPr>
        <w:rFonts w:ascii="Times New Roman" w:hAnsi="Times New Roman"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imes New Roman" w:hAnsi="Times New Roman"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imes New Roman" w:hAnsi="Times New Roman"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imes New Roman" w:hAnsi="Times New Roman" w:cs="Times New Roman"/>
        <w:b/>
        <w:bCs/>
      </w:rPr>
    </w:tblStylePr>
    <w:tblStylePr w:type="lastCol">
      <w:rPr>
        <w:rFonts w:ascii="Times New Roman" w:hAnsi="Times New Roman"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imes New Roman" w:hAnsi="Times New Roman"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imes New Roman" w:hAnsi="Times New Roman"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imes New Roman" w:hAnsi="Times New Roman" w:cs="Times New Roman"/>
        <w:b/>
        <w:bCs/>
      </w:rPr>
    </w:tblStylePr>
    <w:tblStylePr w:type="lastCol">
      <w:rPr>
        <w:rFonts w:ascii="Times New Roman" w:hAnsi="Times New Roman"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imes New Roman" w:hAnsi="Times New Roman" w:cs="Times New Roman"/>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imes New Roman" w:hAnsi="Times New Roman" w:cs="Times New Roman"/>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imes New Roman" w:hAnsi="Times New Roman" w:cs="Times New Roman"/>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imes New Roman" w:hAnsi="Times New Roman" w:cs="Times New Roman"/>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imes New Roman" w:hAnsi="Times New Roman" w:cs="Times New Roman"/>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imes New Roman" w:hAnsi="Times New Roman" w:cs="Times New Roman"/>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imes New Roman" w:hAnsi="Times New Roman" w:cs="Times New Roman"/>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imes New Roman" w:hAnsi="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imes New Roman" w:hAnsi="Times New Roman" w:cs="Times New Roman"/>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imes New Roman" w:hAnsi="Times New Roman" w:cs="Times New Roman"/>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imes New Roman" w:hAnsi="Times New Roman" w:cs="Times New Roman"/>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imes New Roman" w:hAnsi="Times New Roman" w:cs="Times New Roman"/>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imes New Roman" w:hAnsi="Times New Roman" w:cs="Times New Roman"/>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imes New Roman" w:hAnsi="Times New Roman" w:cs="Times New Roman"/>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imes New Roman" w:hAnsi="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imes New Roman" w:hAnsi="Times New Roman" w:cs="Times New Roman"/>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imes New Roman" w:hAnsi="Times New Roman" w:cs="Times New Roman"/>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imes New Roman" w:hAnsi="Times New Roman" w:cs="Times New Roman"/>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imes New Roman" w:hAnsi="Times New Roman" w:cs="Times New Roman"/>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imes New Roman" w:hAnsi="Times New Roman" w:cs="Times New Roman"/>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imes New Roman" w:hAnsi="Times New Roman" w:cs="Times New Roman"/>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